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546007EA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9A1254">
        <w:rPr>
          <w:sz w:val="24"/>
          <w:szCs w:val="24"/>
        </w:rPr>
        <w:t>60</w:t>
      </w:r>
      <w:r w:rsidR="006C5193">
        <w:rPr>
          <w:sz w:val="24"/>
          <w:szCs w:val="24"/>
        </w:rPr>
        <w:t>.2019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35" w:tblpY="365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C805DD" w:rsidRPr="00BD1CD1" w14:paraId="39830233" w14:textId="77777777" w:rsidTr="009A1254">
        <w:trPr>
          <w:trHeight w:val="557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DA4033" w14:textId="77777777" w:rsidR="00C805DD" w:rsidRPr="00FC051D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  <w:p w14:paraId="5186C010" w14:textId="64996617" w:rsidR="00C805DD" w:rsidRPr="00BD1CD1" w:rsidRDefault="00C805DD" w:rsidP="008963D7">
            <w:pPr>
              <w:spacing w:beforeLines="20" w:before="48" w:afterLines="20" w:after="48"/>
              <w:ind w:left="28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805DD" w:rsidRPr="00BD1CD1" w14:paraId="7B268501" w14:textId="77777777" w:rsidTr="009A1254">
        <w:trPr>
          <w:trHeight w:val="2690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B9C7" w14:textId="32880AD6" w:rsidR="009A1254" w:rsidRPr="009A1254" w:rsidRDefault="009A1254" w:rsidP="009A1254">
            <w:pPr>
              <w:widowControl w:val="0"/>
              <w:suppressAutoHyphens/>
              <w:spacing w:after="120"/>
              <w:ind w:left="284"/>
              <w:jc w:val="both"/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eastAsia="en-US" w:bidi="en-US"/>
              </w:rPr>
            </w:pPr>
            <w:r w:rsidRPr="009A1254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u w:val="single"/>
                <w:lang w:eastAsia="en-US" w:bidi="en-US"/>
              </w:rPr>
              <w:t>Zadanie 1</w:t>
            </w:r>
            <w:r w:rsidRPr="009A1254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eastAsia="en-US" w:bidi="en-US"/>
              </w:rPr>
              <w:t xml:space="preserve"> -  </w:t>
            </w:r>
            <w:r w:rsidRPr="009A1254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eastAsia="en-US" w:bidi="en-US"/>
              </w:rPr>
              <w:t xml:space="preserve">Opracowanie dokumentacji geologiczno-inżynierskiej w ramach zadania pn. </w:t>
            </w:r>
            <w:r w:rsidRPr="009A1254"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en-US" w:bidi="en-US"/>
              </w:rPr>
              <w:t>„Stabilizacja osuwiska nr 18-11-075-081091 w celu zabezpieczenia drogi powiatowej               Nr 1 184R Przecław – Podole w m. Podole, gm. Przecław, pow. mielecki, wojew. podkarpackie.</w:t>
            </w:r>
            <w:r w:rsidRPr="009A1254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eastAsia="en-US" w:bidi="en-US"/>
              </w:rPr>
              <w:t xml:space="preserve">  </w:t>
            </w:r>
          </w:p>
          <w:p w14:paraId="05BE9353" w14:textId="33DFBDEB" w:rsidR="00C805DD" w:rsidRPr="009B4D41" w:rsidRDefault="009A1254" w:rsidP="009A1254">
            <w:pPr>
              <w:spacing w:after="120"/>
              <w:ind w:left="28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9A1254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u w:val="single"/>
                <w:lang w:eastAsia="en-US" w:bidi="en-US"/>
              </w:rPr>
              <w:t>Zadanie 2.</w:t>
            </w:r>
            <w:r w:rsidRPr="009A1254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eastAsia="en-US" w:bidi="en-US"/>
              </w:rPr>
              <w:t xml:space="preserve">  </w:t>
            </w:r>
            <w:bookmarkStart w:id="0" w:name="_Hlk27395695"/>
            <w:r w:rsidRPr="009A1254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eastAsia="en-US" w:bidi="en-US"/>
              </w:rPr>
              <w:t xml:space="preserve">Opracowanie dokumentacji geologiczno-inżynierskiej w ramach zadania pn. </w:t>
            </w:r>
            <w:r w:rsidRPr="009A1254">
              <w:rPr>
                <w:rFonts w:ascii="Times New Roman" w:eastAsia="Lucida Sans Unicode" w:hAnsi="Times New Roman" w:cs="Tahoma"/>
                <w:b/>
                <w:sz w:val="24"/>
                <w:szCs w:val="24"/>
                <w:lang w:eastAsia="en-US" w:bidi="en-US"/>
              </w:rPr>
              <w:t>„Stabilizacja osuwiska nr 18-11-085-081411 w celu zabezpieczenia drogi powiatowej              Nr 1 165R Wadowice Górne - Zgórsko w m. Zgórsko, gm. Radomyśl Wielki, pow. mielecki, wojew. podkarpackie</w:t>
            </w:r>
            <w:bookmarkEnd w:id="0"/>
            <w:r w:rsidR="00C805DD" w:rsidRPr="00FC051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C805DD" w:rsidRPr="00BD1CD1" w14:paraId="3FEE3C8F" w14:textId="77777777" w:rsidTr="008963D7">
        <w:trPr>
          <w:trHeight w:val="346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8963D7">
        <w:trPr>
          <w:trHeight w:val="987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8963D7"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8963D7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8963D7">
        <w:trPr>
          <w:trHeight w:val="804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021665C3" w14:textId="77777777" w:rsidR="009A1254" w:rsidRPr="009A1254" w:rsidRDefault="009A1254" w:rsidP="009A1254">
            <w:pPr>
              <w:widowControl w:val="0"/>
              <w:suppressAutoHyphens/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eastAsia="en-US" w:bidi="en-US"/>
              </w:rPr>
            </w:pPr>
            <w:r w:rsidRPr="009A1254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eastAsia="en-US" w:bidi="en-US"/>
              </w:rPr>
              <w:t>71351910-5</w:t>
            </w:r>
            <w:r w:rsidRPr="009A1254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eastAsia="en-US" w:bidi="en-US"/>
              </w:rPr>
              <w:t xml:space="preserve">  Usługi geologiczne</w:t>
            </w:r>
          </w:p>
          <w:p w14:paraId="4295628E" w14:textId="304A9320" w:rsidR="00C805DD" w:rsidRPr="00BD1CD1" w:rsidRDefault="009A1254" w:rsidP="009A1254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9A1254">
              <w:rPr>
                <w:rFonts w:ascii="Times New Roman" w:eastAsia="Lucida Sans Unicode" w:hAnsi="Times New Roman" w:cs="Tahoma"/>
                <w:b/>
                <w:color w:val="000000"/>
                <w:sz w:val="24"/>
                <w:szCs w:val="24"/>
                <w:lang w:eastAsia="en-US" w:bidi="en-US"/>
              </w:rPr>
              <w:t>71332000-4</w:t>
            </w:r>
            <w:r w:rsidRPr="009A1254">
              <w:rPr>
                <w:rFonts w:ascii="Times New Roman" w:eastAsia="Lucida Sans Unicode" w:hAnsi="Times New Roman" w:cs="Tahoma"/>
                <w:color w:val="000000"/>
                <w:sz w:val="24"/>
                <w:szCs w:val="24"/>
                <w:lang w:eastAsia="en-US" w:bidi="en-US"/>
              </w:rPr>
              <w:t xml:space="preserve"> Geotechniczne usługi inżynieryjne</w:t>
            </w:r>
          </w:p>
        </w:tc>
      </w:tr>
      <w:tr w:rsidR="004A6C22" w:rsidRPr="00BD1CD1" w14:paraId="3C51741F" w14:textId="77777777" w:rsidTr="008963D7">
        <w:trPr>
          <w:trHeight w:val="711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3890F94D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B8D61E" w14:textId="2D4E85DD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9A1254">
              <w:rPr>
                <w:rFonts w:ascii="Times New Roman" w:hAnsi="Times New Roman"/>
                <w:sz w:val="24"/>
                <w:szCs w:val="24"/>
              </w:rPr>
              <w:t>grudzień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77777777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031C86EF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8713A04" w14:textId="2ACB9854" w:rsidR="009A1254" w:rsidRDefault="009A1254" w:rsidP="00C42DF8">
      <w:pPr>
        <w:pStyle w:val="Tytu"/>
        <w:rPr>
          <w:rFonts w:asciiTheme="minorHAnsi" w:hAnsiTheme="minorHAnsi" w:cstheme="minorHAnsi"/>
          <w:szCs w:val="28"/>
        </w:rPr>
      </w:pPr>
    </w:p>
    <w:p w14:paraId="5F9F9612" w14:textId="084D1C4A" w:rsidR="009A1254" w:rsidRDefault="009A1254" w:rsidP="00C42DF8">
      <w:pPr>
        <w:pStyle w:val="Tytu"/>
        <w:rPr>
          <w:rFonts w:asciiTheme="minorHAnsi" w:hAnsiTheme="minorHAnsi" w:cstheme="minorHAnsi"/>
          <w:szCs w:val="28"/>
        </w:rPr>
      </w:pPr>
    </w:p>
    <w:p w14:paraId="1142FE01" w14:textId="52172BE7" w:rsidR="009A1254" w:rsidRDefault="009A1254" w:rsidP="00C42DF8">
      <w:pPr>
        <w:pStyle w:val="Tytu"/>
        <w:rPr>
          <w:rFonts w:asciiTheme="minorHAnsi" w:hAnsiTheme="minorHAnsi" w:cstheme="minorHAnsi"/>
          <w:szCs w:val="28"/>
        </w:rPr>
      </w:pPr>
    </w:p>
    <w:p w14:paraId="5DFC17F4" w14:textId="2B2FE015" w:rsidR="009A1254" w:rsidRDefault="009A1254" w:rsidP="00C42DF8">
      <w:pPr>
        <w:pStyle w:val="Tytu"/>
        <w:rPr>
          <w:rFonts w:asciiTheme="minorHAnsi" w:hAnsiTheme="minorHAnsi" w:cstheme="minorHAnsi"/>
          <w:szCs w:val="28"/>
        </w:rPr>
      </w:pPr>
    </w:p>
    <w:p w14:paraId="66B44371" w14:textId="2C8C40A3" w:rsidR="009A1254" w:rsidRDefault="009A1254" w:rsidP="00C42DF8">
      <w:pPr>
        <w:pStyle w:val="Tytu"/>
        <w:rPr>
          <w:rFonts w:asciiTheme="minorHAnsi" w:hAnsiTheme="minorHAnsi" w:cstheme="minorHAnsi"/>
          <w:szCs w:val="28"/>
        </w:rPr>
      </w:pPr>
    </w:p>
    <w:p w14:paraId="1B9866FD" w14:textId="77777777" w:rsidR="009A1254" w:rsidRDefault="009A1254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33D440AD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.2019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1C597332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0408C013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.2019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6B7F86">
      <w:pPr>
        <w:pStyle w:val="Nagwek1"/>
      </w:pPr>
      <w:r>
        <w:t>Przedmiot umowy</w:t>
      </w:r>
    </w:p>
    <w:p w14:paraId="058AA592" w14:textId="4787F1CB" w:rsidR="009D71B7" w:rsidRPr="007E6F93" w:rsidRDefault="009D71B7" w:rsidP="005676FF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 w:rsidR="009A1254">
        <w:t xml:space="preserve"> poniżej 30 000 euro</w:t>
      </w:r>
      <w:r>
        <w:t xml:space="preserve"> </w:t>
      </w:r>
      <w:r w:rsidRPr="007E6F93">
        <w:t>w</w:t>
      </w:r>
      <w:r>
        <w:t xml:space="preserve"> </w:t>
      </w:r>
      <w:r w:rsidRPr="007E6F93">
        <w:t xml:space="preserve">trybie </w:t>
      </w:r>
      <w:r w:rsidR="009A1254">
        <w:t>zapytania ofertowego</w:t>
      </w:r>
      <w:r w:rsidR="0003401F">
        <w:t xml:space="preserve"> z</w:t>
      </w:r>
      <w:r w:rsidR="001949DF">
        <w:t xml:space="preserve"> dnia </w:t>
      </w:r>
      <w:r w:rsidR="009A1254">
        <w:t>17 grudnia</w:t>
      </w:r>
      <w:r w:rsidR="00794223">
        <w:t xml:space="preserve"> 2019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 : Dz.U. z 2015 r. poz. 2164 z</w:t>
      </w:r>
      <w:r>
        <w:t xml:space="preserve">e </w:t>
      </w:r>
      <w:r w:rsidRPr="007E6F93">
        <w:t>zm.</w:t>
      </w:r>
      <w:r w:rsidR="009A1254">
        <w:t xml:space="preserve"> Art. 4 pkt 8</w:t>
      </w:r>
      <w:r w:rsidRPr="007E6F93">
        <w:t>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2F708E08" w:rsidR="007B0635" w:rsidRPr="00EF023A" w:rsidRDefault="009D71B7" w:rsidP="00EF023A">
      <w:pPr>
        <w:pStyle w:val="Nagwek2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Pr="005D777C">
        <w:rPr>
          <w:b/>
        </w:rPr>
        <w:t>„</w:t>
      </w:r>
      <w:r w:rsidR="00B66D68">
        <w:rPr>
          <w:b/>
          <w:bCs/>
        </w:rPr>
        <w:t>………………..</w:t>
      </w:r>
      <w:r w:rsidRPr="005D777C">
        <w:rPr>
          <w:b/>
        </w:rPr>
        <w:t>”</w:t>
      </w:r>
      <w:r>
        <w:rPr>
          <w:b/>
        </w:rPr>
        <w:t xml:space="preserve"> </w:t>
      </w:r>
      <w:r>
        <w:t>według:</w:t>
      </w:r>
      <w:r w:rsidR="00EF023A">
        <w:t xml:space="preserve"> </w:t>
      </w:r>
      <w:r w:rsidR="0004106E">
        <w:t>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 xml:space="preserve">ienia </w:t>
      </w:r>
      <w:r w:rsidR="0004106E" w:rsidRPr="0004106E">
        <w:t xml:space="preserve">stanowiącego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EF023A">
        <w:rPr>
          <w:i/>
        </w:rPr>
        <w:t>.</w:t>
      </w:r>
    </w:p>
    <w:p w14:paraId="31FB10F4" w14:textId="77777777" w:rsidR="006E522B" w:rsidRPr="00826DCC" w:rsidRDefault="006E522B" w:rsidP="006B7F86">
      <w:pPr>
        <w:pStyle w:val="Nagwek1"/>
      </w:pPr>
      <w:r w:rsidRPr="00826DCC">
        <w:t>Okres wykonywania Umowy</w:t>
      </w:r>
    </w:p>
    <w:p w14:paraId="0E794626" w14:textId="7A2E032A" w:rsidR="00B66D68" w:rsidRDefault="00B66D68" w:rsidP="005676FF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</w:t>
      </w:r>
      <w:r w:rsidR="00EF023A">
        <w:t xml:space="preserve">: </w:t>
      </w:r>
      <w:r w:rsidR="004D0BAD">
        <w:t>…………….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>Czynności wymagające działania lub współdziałania ze strony Zamawiającego wykonywane są w dni robocze, za które uważa się dni od poniedziałku do piątku, z wyłączeniem dni 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6B7F86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4785834C" w:rsidR="00361BEB" w:rsidRPr="00826DCC" w:rsidRDefault="002A4B69" w:rsidP="005676FF">
      <w:pPr>
        <w:pStyle w:val="Nagwek2"/>
      </w:pPr>
      <w:r>
        <w:rPr>
          <w:rFonts w:ascii="Times New Roman" w:eastAsia="Lucida Sans Unicode" w:hAnsi="Times New Roman" w:cs="Tahoma"/>
          <w:color w:val="000000"/>
          <w:sz w:val="24"/>
          <w:szCs w:val="24"/>
          <w:lang w:eastAsia="en-US" w:bidi="en-US"/>
        </w:rPr>
        <w:t>o</w:t>
      </w:r>
      <w:r w:rsidR="004D0BAD" w:rsidRPr="004D0BAD">
        <w:rPr>
          <w:rFonts w:ascii="Times New Roman" w:eastAsia="Lucida Sans Unicode" w:hAnsi="Times New Roman" w:cs="Tahoma"/>
          <w:color w:val="000000"/>
          <w:sz w:val="24"/>
          <w:szCs w:val="24"/>
          <w:lang w:eastAsia="en-US" w:bidi="en-US"/>
        </w:rPr>
        <w:t xml:space="preserve">dbiór dokumentacji zostanie dokonany po przedłożeniu w siedzibie Zamawiającego kompletu opracowania wraz z protokołem przekazania (Załącznik Nr 5) zgodnie 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eastAsia="en-US" w:bidi="en-US"/>
        </w:rPr>
        <w:t xml:space="preserve">         </w:t>
      </w:r>
      <w:r w:rsidR="004D0BAD" w:rsidRPr="004D0BAD">
        <w:rPr>
          <w:rFonts w:ascii="Times New Roman" w:eastAsia="Lucida Sans Unicode" w:hAnsi="Times New Roman" w:cs="Tahoma"/>
          <w:color w:val="000000"/>
          <w:sz w:val="24"/>
          <w:szCs w:val="24"/>
          <w:lang w:eastAsia="en-US" w:bidi="en-US"/>
        </w:rPr>
        <w:t>z umową obejmującą przedmiot zamówienia w siedzibie Zamawiającego</w:t>
      </w:r>
      <w:r w:rsidR="00361BEB" w:rsidRPr="00826DCC">
        <w:t>.</w:t>
      </w:r>
    </w:p>
    <w:p w14:paraId="35FC6CEA" w14:textId="0AFA7A91" w:rsidR="00361BEB" w:rsidRDefault="00361BEB" w:rsidP="002A4B69">
      <w:pPr>
        <w:spacing w:before="60" w:after="60"/>
        <w:ind w:left="709" w:hanging="567"/>
        <w:jc w:val="both"/>
      </w:pPr>
      <w:r>
        <w:t>3.2.</w:t>
      </w:r>
      <w:r>
        <w:tab/>
      </w:r>
      <w:r w:rsidR="002A4B69">
        <w:t>Z</w:t>
      </w:r>
      <w:r w:rsidR="002A4B69" w:rsidRPr="002A4B69">
        <w:rPr>
          <w:rFonts w:ascii="Times New Roman" w:eastAsia="Lucida Sans Unicode" w:hAnsi="Times New Roman" w:cs="Tahoma"/>
          <w:color w:val="000000"/>
          <w:sz w:val="24"/>
          <w:szCs w:val="24"/>
          <w:lang w:eastAsia="en-US" w:bidi="en-US"/>
        </w:rPr>
        <w:t xml:space="preserve">amawiający w ciągu </w:t>
      </w:r>
      <w:r w:rsidR="002A4B69" w:rsidRPr="002A4B69">
        <w:rPr>
          <w:rFonts w:ascii="Times New Roman" w:eastAsia="Lucida Sans Unicode" w:hAnsi="Times New Roman" w:cs="Tahoma"/>
          <w:b/>
          <w:color w:val="000000"/>
          <w:sz w:val="24"/>
          <w:szCs w:val="24"/>
          <w:lang w:eastAsia="en-US" w:bidi="en-US"/>
        </w:rPr>
        <w:t>10 dni</w:t>
      </w:r>
      <w:r w:rsidR="002A4B69" w:rsidRPr="002A4B69">
        <w:rPr>
          <w:rFonts w:ascii="Times New Roman" w:eastAsia="Lucida Sans Unicode" w:hAnsi="Times New Roman" w:cs="Tahoma"/>
          <w:color w:val="000000"/>
          <w:sz w:val="24"/>
          <w:szCs w:val="24"/>
          <w:lang w:eastAsia="en-US" w:bidi="en-US"/>
        </w:rPr>
        <w:t xml:space="preserve"> sprawdzi przekazane materiały</w:t>
      </w:r>
      <w:r w:rsidR="00BB169D">
        <w:rPr>
          <w:rFonts w:ascii="Times New Roman" w:eastAsia="Lucida Sans Unicode" w:hAnsi="Times New Roman" w:cs="Tahoma"/>
          <w:color w:val="000000"/>
          <w:sz w:val="24"/>
          <w:szCs w:val="24"/>
          <w:lang w:eastAsia="en-US" w:bidi="en-US"/>
        </w:rPr>
        <w:t>,</w:t>
      </w:r>
    </w:p>
    <w:p w14:paraId="2FEB220D" w14:textId="2E2F5F9B" w:rsidR="00361BEB" w:rsidRDefault="00361BEB" w:rsidP="00F46823">
      <w:pPr>
        <w:ind w:left="1134" w:hanging="708"/>
        <w:jc w:val="both"/>
      </w:pPr>
      <w:r>
        <w:t>3.2.1.</w:t>
      </w:r>
      <w:r>
        <w:tab/>
      </w:r>
      <w:r w:rsidR="002A4B69" w:rsidRPr="002A4B69">
        <w:t>podpisze protokół zdawczo-odbiorczy, który będzie stanowił podstawę do wystawienia faktur</w:t>
      </w:r>
      <w:r>
        <w:t>,</w:t>
      </w:r>
    </w:p>
    <w:p w14:paraId="6A862CC7" w14:textId="49A0224A" w:rsidR="00361BEB" w:rsidRDefault="00361BEB" w:rsidP="00F46823">
      <w:pPr>
        <w:ind w:left="1134" w:hanging="708"/>
        <w:jc w:val="both"/>
      </w:pPr>
      <w:r>
        <w:t>3.</w:t>
      </w:r>
      <w:r w:rsidR="00F46823">
        <w:t>3</w:t>
      </w:r>
      <w:r>
        <w:t>.2.</w:t>
      </w:r>
      <w:r>
        <w:tab/>
      </w:r>
      <w:r w:rsidR="002A4B69" w:rsidRPr="002A4B69">
        <w:t>zwróci opracowanie z podaniem na piśmie przyczyn odmowy odbioru</w:t>
      </w:r>
      <w:r>
        <w:t>,</w:t>
      </w:r>
    </w:p>
    <w:p w14:paraId="4641D17A" w14:textId="5A52150D" w:rsidR="009D71B7" w:rsidRDefault="004C0669" w:rsidP="006B7F86">
      <w:pPr>
        <w:pStyle w:val="Nagwek1"/>
      </w:pPr>
      <w:r>
        <w:lastRenderedPageBreak/>
        <w:t>Obowiązki Stron</w:t>
      </w:r>
    </w:p>
    <w:p w14:paraId="664ACD6D" w14:textId="73ADEBE7" w:rsidR="00F14CC0" w:rsidRDefault="00F14CC0" w:rsidP="005676FF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449EC5F3" w:rsidR="00F14CC0" w:rsidRPr="00F14CC0" w:rsidRDefault="00F14CC0" w:rsidP="008002B9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558F84B7" w:rsidR="009D71B7" w:rsidRDefault="00F14CC0" w:rsidP="008002B9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5C547191" w:rsidR="00DA488F" w:rsidRDefault="00DA488F" w:rsidP="00DA488F">
      <w:pPr>
        <w:pStyle w:val="Nagwek2"/>
      </w:pPr>
      <w:r>
        <w:t>W ramach niniejszej Umowy do obowiązków Wykonawcy należy:</w:t>
      </w:r>
    </w:p>
    <w:p w14:paraId="0B097448" w14:textId="77777777" w:rsidR="003C4E0A" w:rsidRDefault="008D4508" w:rsidP="003C4E0A">
      <w:pPr>
        <w:pStyle w:val="Nagwek2"/>
        <w:numPr>
          <w:ilvl w:val="2"/>
          <w:numId w:val="36"/>
        </w:numPr>
        <w:ind w:left="993" w:hanging="709"/>
      </w:pPr>
      <w:r w:rsidRPr="008D4508">
        <w:t xml:space="preserve">Wykonawca wykona przedmiot umowy zgodnie z </w:t>
      </w:r>
      <w:r w:rsidR="00BB169D">
        <w:t>zakresem zamówienia.</w:t>
      </w:r>
      <w:r w:rsidRPr="008D4508">
        <w:t xml:space="preserve"> </w:t>
      </w:r>
      <w:r w:rsidR="00BB169D" w:rsidRPr="00BB169D">
        <w:t>Dokumentacj</w:t>
      </w:r>
      <w:r w:rsidR="00BB169D">
        <w:t>a</w:t>
      </w:r>
      <w:r w:rsidR="00BB169D" w:rsidRPr="00BB169D">
        <w:t xml:space="preserve"> powinna być wykonana z należytą starannością, zgodnie z przepisami i obowiązującymi Polskimi Normami a w szczególności</w:t>
      </w:r>
      <w:r w:rsidR="00BB169D">
        <w:t>,</w:t>
      </w:r>
    </w:p>
    <w:p w14:paraId="35DC8314" w14:textId="77777777" w:rsidR="00C04541" w:rsidRDefault="00BB169D" w:rsidP="00C04541">
      <w:pPr>
        <w:pStyle w:val="Nagwek2"/>
        <w:numPr>
          <w:ilvl w:val="3"/>
          <w:numId w:val="2"/>
        </w:numPr>
        <w:ind w:left="1418" w:hanging="851"/>
      </w:pPr>
      <w:r w:rsidRPr="00BB169D">
        <w:t>ustawą Prawo geologiczne i górnicze (Dz.U. z 2017 r. poz.2126)</w:t>
      </w:r>
      <w:r w:rsidR="009D71B7">
        <w:t>,</w:t>
      </w:r>
    </w:p>
    <w:p w14:paraId="7B7F63FF" w14:textId="77777777" w:rsidR="00C04541" w:rsidRDefault="00BB169D" w:rsidP="00C04541">
      <w:pPr>
        <w:pStyle w:val="Nagwek2"/>
        <w:numPr>
          <w:ilvl w:val="3"/>
          <w:numId w:val="2"/>
        </w:numPr>
        <w:ind w:left="1418" w:hanging="851"/>
      </w:pPr>
      <w:r w:rsidRPr="00BB169D">
        <w:t xml:space="preserve">rozporządzeniem Ministra Środowiska z dnia 1 lipca 2015 r. w sprawie szczegółowych </w:t>
      </w:r>
      <w:r w:rsidR="00FB3C85">
        <w:t>w</w:t>
      </w:r>
      <w:r w:rsidRPr="00BB169D">
        <w:t>ymagań dotyczących projektów robót geologicznych w tym robót, których wykonywanie wymaga uzyskania koncesji (Dz.U. z 2015 poz. 964)</w:t>
      </w:r>
      <w:r>
        <w:t>,</w:t>
      </w:r>
    </w:p>
    <w:p w14:paraId="0E385D53" w14:textId="77777777" w:rsidR="00C04541" w:rsidRDefault="00D5516E" w:rsidP="00C04541">
      <w:pPr>
        <w:pStyle w:val="Nagwek2"/>
        <w:numPr>
          <w:ilvl w:val="3"/>
          <w:numId w:val="2"/>
        </w:numPr>
        <w:ind w:left="1418" w:hanging="851"/>
      </w:pPr>
      <w:r w:rsidRPr="00D5516E">
        <w:t xml:space="preserve">rozporządzeniem Ministra Środowiska z dnia 18 listopada 2016 r. w sprawie dokumentacji hydrogeologicznej i dokumentacji </w:t>
      </w:r>
      <w:proofErr w:type="spellStart"/>
      <w:r w:rsidRPr="00D5516E">
        <w:t>geologiczno</w:t>
      </w:r>
      <w:proofErr w:type="spellEnd"/>
      <w:r w:rsidRPr="00D5516E">
        <w:t xml:space="preserve"> – inżynierskiej (Dz.U. </w:t>
      </w:r>
      <w:r w:rsidR="00F46823">
        <w:t xml:space="preserve">         </w:t>
      </w:r>
      <w:r w:rsidRPr="00D5516E">
        <w:t>z 2016 r. poz. 2033),</w:t>
      </w:r>
    </w:p>
    <w:p w14:paraId="475EC9EC" w14:textId="77777777" w:rsidR="00C04541" w:rsidRDefault="00F46823" w:rsidP="00C04541">
      <w:pPr>
        <w:pStyle w:val="Nagwek2"/>
        <w:numPr>
          <w:ilvl w:val="3"/>
          <w:numId w:val="2"/>
        </w:numPr>
        <w:ind w:left="1418" w:hanging="851"/>
      </w:pPr>
      <w:r w:rsidRPr="00F46823">
        <w:t>rozporządzeniem Ministra Środowiska z dnia 20 czerwca 2007 r. w sprawie informacji dotyczących ruchów masowych ziemi (Dz.U. z 2007 r. nr 121 poz. 840</w:t>
      </w:r>
      <w:r>
        <w:t>),</w:t>
      </w:r>
    </w:p>
    <w:p w14:paraId="4D1A0079" w14:textId="6FD13157" w:rsidR="00F46823" w:rsidRPr="00FB3C85" w:rsidRDefault="00F46823" w:rsidP="00C04541">
      <w:pPr>
        <w:pStyle w:val="Nagwek2"/>
        <w:numPr>
          <w:ilvl w:val="3"/>
          <w:numId w:val="2"/>
        </w:numPr>
        <w:ind w:left="1418" w:hanging="851"/>
      </w:pPr>
      <w:r w:rsidRPr="00F46823">
        <w:t xml:space="preserve">wytycznymi Ministra Spraw Wewnętrznych i Administracji Ministra w sprawie zasad                   </w:t>
      </w:r>
      <w:bookmarkStart w:id="1" w:name="_Hlk27464788"/>
      <w:r w:rsidRPr="00F46823">
        <w:t>i trybu udzielania jednostkom samorządu terytorialnego dotacji celowych z budżetu państwa na dofinansowanie zadań własnych polegających na naprawie, odbudowie, budowie, przeniesieniu, stabilizacji i ulepszeniu infrastruktury publicznej zniszczonej, uszkodzonej bądź zagrożonej przez ruchy osuwiskowe ziemi lub erozję brzegu (dostępne na stronie internetowej MSWiA</w:t>
      </w:r>
      <w:bookmarkEnd w:id="1"/>
      <w:r>
        <w:t>).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>przekazywania Zamawiającemu kserokopii wszystkich orzeczeń organów administracji publicznej oraz opinii i uzgodnień innych podmiotów wydanych w trakcie obowiązywania Umowy w terminie 2 dni roboczych od dnia ich otrzymania przez Wykonawcę</w:t>
      </w:r>
      <w:r w:rsidR="00810FCC">
        <w:t>.</w:t>
      </w:r>
    </w:p>
    <w:p w14:paraId="734F8D73" w14:textId="107A4BEA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lastRenderedPageBreak/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4AA4ECB1" w14:textId="59524A5C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50DC0CC5" w14:textId="033C4A1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</w:t>
      </w:r>
      <w:r w:rsidR="003D0439">
        <w:rPr>
          <w:iCs/>
        </w:rPr>
        <w:t>7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390EAA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</w:t>
      </w:r>
      <w:r w:rsidR="003D0439">
        <w:rPr>
          <w:iCs/>
        </w:rPr>
        <w:t>8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stanowiącej przedmiot umowy</w:t>
      </w:r>
      <w:r w:rsidR="00AE05FA">
        <w:rPr>
          <w:iCs/>
        </w:rPr>
        <w:t>.</w:t>
      </w:r>
    </w:p>
    <w:p w14:paraId="247C3C02" w14:textId="472380A2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</w:t>
      </w:r>
      <w:r w:rsidR="003D0439">
        <w:rPr>
          <w:iCs/>
        </w:rPr>
        <w:t>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</w:t>
      </w:r>
      <w:r w:rsidR="00AE05FA">
        <w:rPr>
          <w:iCs/>
        </w:rPr>
        <w:t>.</w:t>
      </w:r>
    </w:p>
    <w:p w14:paraId="3F4EEAC2" w14:textId="479F9331" w:rsidR="006D122F" w:rsidRDefault="006D122F" w:rsidP="006B7F86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294B2392" w:rsidR="006D122F" w:rsidRDefault="006D122F" w:rsidP="000A0C62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</w:t>
      </w:r>
      <w:r w:rsidR="003D0439">
        <w:t>harmonogram prac</w:t>
      </w:r>
      <w:r w:rsidR="000A0C62">
        <w:t>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73BC763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nie wymaga podpisania przez Strony Aneksu do Umowy</w:t>
      </w:r>
      <w:r>
        <w:t>.</w:t>
      </w:r>
    </w:p>
    <w:p w14:paraId="66908F96" w14:textId="77777777" w:rsidR="008B1F50" w:rsidRDefault="008B1F50" w:rsidP="006B7F86">
      <w:pPr>
        <w:pStyle w:val="Nagwek1"/>
      </w:pPr>
      <w:bookmarkStart w:id="2" w:name="_Ref477400015"/>
      <w:r>
        <w:t>Odbiory.</w:t>
      </w:r>
      <w:bookmarkEnd w:id="2"/>
    </w:p>
    <w:p w14:paraId="28940CE1" w14:textId="4E1141E7" w:rsidR="008B1F50" w:rsidRDefault="007336B6" w:rsidP="005676FF">
      <w:pPr>
        <w:pStyle w:val="Nagwek2"/>
      </w:pPr>
      <w:r w:rsidRPr="007336B6">
        <w:t xml:space="preserve">Przyjęcie dokumentacji do sprawdzenia nie jest równoznaczne z odbiorem </w:t>
      </w:r>
      <w:r w:rsidR="003D0439">
        <w:t>opracowania</w:t>
      </w:r>
      <w:r w:rsidRPr="007336B6">
        <w:t xml:space="preserve"> i nie upoważnia Wykonawcy do wystawienia faktury VAT</w:t>
      </w:r>
      <w:r w:rsidR="008B1F50">
        <w:t xml:space="preserve">. </w:t>
      </w:r>
    </w:p>
    <w:p w14:paraId="52BED8E5" w14:textId="0E3DD806" w:rsidR="008B1F50" w:rsidRPr="00C7487D" w:rsidRDefault="0029006F" w:rsidP="005676FF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00D13E78" w:rsidR="008B1F50" w:rsidRDefault="0029006F" w:rsidP="005676FF">
      <w:pPr>
        <w:pStyle w:val="Nagwek2"/>
      </w:pPr>
      <w:bookmarkStart w:id="3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</w:t>
      </w:r>
      <w:r w:rsidR="00B86C2A">
        <w:t xml:space="preserve">              </w:t>
      </w:r>
      <w:r>
        <w:t xml:space="preserve">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3"/>
    </w:p>
    <w:p w14:paraId="368DAEB8" w14:textId="6A9B65BD" w:rsidR="003A347D" w:rsidRPr="003A347D" w:rsidRDefault="003A347D" w:rsidP="003A347D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Wykonawca dostarczy </w:t>
      </w:r>
      <w:r w:rsidR="00B86C2A" w:rsidRPr="00B86C2A">
        <w:rPr>
          <w:bCs/>
        </w:rPr>
        <w:t>1 egzemplarz zatwierdzonego projektu robót geologicznych wraz z aktem zatwierdzenia</w:t>
      </w:r>
      <w:r w:rsidR="00B86C2A">
        <w:rPr>
          <w:bCs/>
        </w:rPr>
        <w:t>,</w:t>
      </w:r>
      <w:r w:rsidR="00B86C2A" w:rsidRPr="00B86C2A">
        <w:rPr>
          <w:bCs/>
        </w:rPr>
        <w:t xml:space="preserve">  z 1 egzemplarzem w wersji elektronicznej</w:t>
      </w:r>
      <w:r w:rsidRPr="00B86C2A">
        <w:rPr>
          <w:bCs/>
        </w:rPr>
        <w:t xml:space="preserve"> </w:t>
      </w:r>
      <w:bookmarkStart w:id="4" w:name="_Hlk27465842"/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</w:t>
      </w:r>
      <w:r w:rsidR="00B86C2A">
        <w:t xml:space="preserve"> </w:t>
      </w:r>
      <w:bookmarkEnd w:id="4"/>
      <w:r w:rsidR="00B86C2A">
        <w:t xml:space="preserve">oraz                       </w:t>
      </w:r>
      <w:r w:rsidR="00B86C2A" w:rsidRPr="00B86C2A">
        <w:rPr>
          <w:bCs/>
        </w:rPr>
        <w:t>5 egzemplarzy przyjętej dokumentacji geologiczno-inżynierskiej wraz z zatwierdzeniem dokumentacji przez Starostę Mieleckiego oraz z 1 egz. w wersji elektronicznej</w:t>
      </w:r>
      <w:r w:rsidR="00B86C2A">
        <w:rPr>
          <w:bCs/>
        </w:rPr>
        <w:t xml:space="preserve"> </w:t>
      </w:r>
      <w:r w:rsidR="00B86C2A" w:rsidRPr="00B86C2A">
        <w:rPr>
          <w:bCs/>
        </w:rPr>
        <w:t xml:space="preserve">(pdf i </w:t>
      </w:r>
      <w:proofErr w:type="spellStart"/>
      <w:r w:rsidR="00B86C2A" w:rsidRPr="00B86C2A">
        <w:rPr>
          <w:bCs/>
        </w:rPr>
        <w:t>dxf</w:t>
      </w:r>
      <w:proofErr w:type="spellEnd"/>
      <w:r w:rsidR="00B86C2A" w:rsidRPr="00B86C2A">
        <w:rPr>
          <w:bCs/>
        </w:rPr>
        <w:t xml:space="preserve"> lub </w:t>
      </w:r>
      <w:proofErr w:type="spellStart"/>
      <w:r w:rsidR="00B86C2A" w:rsidRPr="00B86C2A">
        <w:rPr>
          <w:bCs/>
        </w:rPr>
        <w:t>dwg</w:t>
      </w:r>
      <w:proofErr w:type="spellEnd"/>
      <w:r w:rsidR="00B86C2A" w:rsidRPr="00B86C2A">
        <w:rPr>
          <w:bCs/>
        </w:rPr>
        <w:t>)</w:t>
      </w:r>
      <w:r w:rsidR="00B86C2A">
        <w:rPr>
          <w:bCs/>
        </w:rPr>
        <w:t>.</w:t>
      </w:r>
    </w:p>
    <w:p w14:paraId="04A53042" w14:textId="7DD5DD65" w:rsidR="008B1F50" w:rsidRDefault="0029006F" w:rsidP="005676FF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5F9A8457" w:rsidR="0029006F" w:rsidRDefault="001A1ACC" w:rsidP="0029006F">
      <w:pPr>
        <w:ind w:left="709" w:hanging="567"/>
        <w:jc w:val="both"/>
      </w:pPr>
      <w:r>
        <w:lastRenderedPageBreak/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B86C2A">
        <w:t>.</w:t>
      </w:r>
      <w:r w:rsidR="00EF023A">
        <w:t xml:space="preserve"> </w:t>
      </w:r>
    </w:p>
    <w:p w14:paraId="1B77621C" w14:textId="259D3C20" w:rsidR="00B23CFE" w:rsidRPr="00B23CFE" w:rsidRDefault="0007046C" w:rsidP="006B7F86">
      <w:pPr>
        <w:pStyle w:val="Nagwek1"/>
      </w:pPr>
      <w:r w:rsidRPr="00826DCC">
        <w:t>Oświadczenia Wykonawcy</w:t>
      </w:r>
    </w:p>
    <w:p w14:paraId="1E6C6DA4" w14:textId="77777777" w:rsidR="0007046C" w:rsidRPr="00826DCC" w:rsidRDefault="0007046C" w:rsidP="005676FF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77777777" w:rsidR="0007046C" w:rsidRPr="00826DCC" w:rsidRDefault="0007046C" w:rsidP="005676FF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>Wykonawca oświadcza, że potencjał techniczny, osobowy, zasoby ekonomiczne i finansowe, zasoby podmiotów trzecich oraz podwykonawcy, zaoferowane w ofercie złożonej w postępowaniu o udzielenie zamówienia publicznego, zostaną wykorzystane do wykonania 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lastRenderedPageBreak/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6B7F86">
      <w:pPr>
        <w:pStyle w:val="Nagwek1"/>
      </w:pPr>
      <w:r>
        <w:t>Wynagrodzenie.</w:t>
      </w:r>
    </w:p>
    <w:p w14:paraId="71AD0A0E" w14:textId="17CF0AB5" w:rsidR="009D71B7" w:rsidRDefault="00936C0A" w:rsidP="005676FF">
      <w:pPr>
        <w:pStyle w:val="Nagwek2"/>
      </w:pPr>
      <w:bookmarkStart w:id="5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5"/>
    </w:p>
    <w:p w14:paraId="6DC51ECC" w14:textId="1994271B" w:rsidR="009D71B7" w:rsidRDefault="00EE7530" w:rsidP="005676FF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3B32DA93" w:rsidR="00BC3840" w:rsidRDefault="00EE7530" w:rsidP="005676FF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2CA76604" w:rsidR="00EE7530" w:rsidRDefault="00EE7530" w:rsidP="00EE7530">
      <w:pPr>
        <w:ind w:left="709" w:hanging="567"/>
        <w:jc w:val="both"/>
      </w:pPr>
      <w:r>
        <w:t xml:space="preserve">5.4.  </w:t>
      </w:r>
      <w:r w:rsidRPr="00EE7530">
        <w:t xml:space="preserve">Wykonawcy poza wynagrodzeniem umownym nie przysługuje żadne wynagrodzenie, ani zwrot wydatków za przeniesienie majątkowych praw autorskich </w:t>
      </w:r>
      <w:r>
        <w:t>do przedmiotu zamówienia na PZD Mielec.</w:t>
      </w:r>
    </w:p>
    <w:p w14:paraId="2D017647" w14:textId="5CDAF08C" w:rsidR="00EE7530" w:rsidRPr="00EE7530" w:rsidRDefault="00EE7530" w:rsidP="00EE7530">
      <w:pPr>
        <w:ind w:left="709" w:hanging="567"/>
        <w:jc w:val="both"/>
      </w:pPr>
      <w:r>
        <w:lastRenderedPageBreak/>
        <w:t xml:space="preserve">5.5.  </w:t>
      </w:r>
      <w:r w:rsidRPr="00EE7530">
        <w:t>Wykonawcy nie przysługuje żadne wynagrodzenie za korzystanie przez PZD</w:t>
      </w:r>
      <w:r>
        <w:t xml:space="preserve"> Mielec</w:t>
      </w:r>
      <w:r w:rsidRPr="00EE7530">
        <w:t xml:space="preserve"> </w:t>
      </w:r>
      <w:r>
        <w:t xml:space="preserve">                      </w:t>
      </w:r>
      <w:r w:rsidRPr="00EE7530">
        <w:t>z przedmiotu zamówienia na jakimkolwiek polu eksploatacji</w:t>
      </w:r>
      <w:r>
        <w:t>.</w:t>
      </w:r>
    </w:p>
    <w:p w14:paraId="3E3B582B" w14:textId="79A951E2" w:rsidR="009D71B7" w:rsidRDefault="009D71B7" w:rsidP="006B7F86">
      <w:pPr>
        <w:pStyle w:val="Nagwek1"/>
      </w:pPr>
      <w:r>
        <w:t>Płatności.</w:t>
      </w:r>
    </w:p>
    <w:p w14:paraId="4A5F5794" w14:textId="0AC8228C" w:rsidR="00850BA0" w:rsidRDefault="004C0669" w:rsidP="005676FF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2ECEC95C" w:rsidR="00850BA0" w:rsidRDefault="00850BA0" w:rsidP="005676FF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850BA0" w:rsidRDefault="00850BA0" w:rsidP="005676FF">
      <w:pPr>
        <w:pStyle w:val="Nagwek2"/>
        <w:numPr>
          <w:ilvl w:val="0"/>
          <w:numId w:val="0"/>
        </w:numPr>
        <w:ind w:left="708"/>
      </w:pPr>
      <w:r w:rsidRPr="00850BA0">
        <w:t>na następujący adres do korespondencji:</w:t>
      </w:r>
    </w:p>
    <w:p w14:paraId="499A3B67" w14:textId="72E1678B" w:rsidR="00850BA0" w:rsidRPr="00850BA0" w:rsidRDefault="00850BA0" w:rsidP="005676FF">
      <w:pPr>
        <w:pStyle w:val="Nagwek2"/>
        <w:numPr>
          <w:ilvl w:val="0"/>
          <w:numId w:val="0"/>
        </w:numPr>
        <w:ind w:left="708"/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220F6056" w14:textId="0AF1449D" w:rsidR="009D71B7" w:rsidRPr="00850BA0" w:rsidRDefault="00850BA0" w:rsidP="005676FF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77777777" w:rsidR="00850BA0" w:rsidRPr="00850BA0" w:rsidRDefault="00850BA0" w:rsidP="005676FF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2FE1CE1A" w:rsidR="009D71B7" w:rsidRDefault="00850BA0" w:rsidP="005676FF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1E0975C6" w:rsidR="009D71B7" w:rsidRDefault="009D71B7" w:rsidP="005676FF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2A0AA7B7" w14:textId="54108473" w:rsidR="009D71B7" w:rsidRDefault="009D71B7" w:rsidP="006B7F86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681D696B" w:rsidR="009D71B7" w:rsidRDefault="009D71B7" w:rsidP="005676FF">
      <w:pPr>
        <w:pStyle w:val="Nagwek2"/>
      </w:pPr>
      <w:bookmarkStart w:id="6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6"/>
    </w:p>
    <w:p w14:paraId="299314EA" w14:textId="6C3106EE" w:rsidR="009D71B7" w:rsidRDefault="009D71B7" w:rsidP="005676FF">
      <w:pPr>
        <w:pStyle w:val="Nagwek2"/>
      </w:pPr>
      <w:bookmarkStart w:id="7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7"/>
    </w:p>
    <w:p w14:paraId="0A962110" w14:textId="34472344" w:rsidR="009D71B7" w:rsidRDefault="009D71B7" w:rsidP="005676FF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4DB19F9D" w:rsidR="004C0669" w:rsidRDefault="004C0669" w:rsidP="005676FF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6F3237DB" w:rsidR="004C0669" w:rsidRDefault="004C0669" w:rsidP="005676FF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4265B350" w:rsidR="00764BB0" w:rsidRPr="00826DCC" w:rsidRDefault="00764BB0" w:rsidP="005676FF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E3617FC" w14:textId="77777777" w:rsidR="006B7F86" w:rsidRDefault="00764BB0" w:rsidP="006B7F86">
      <w:pPr>
        <w:pStyle w:val="Nagwek2"/>
      </w:pPr>
      <w:bookmarkStart w:id="8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</w:t>
      </w:r>
      <w:r w:rsidRPr="00826DCC">
        <w:lastRenderedPageBreak/>
        <w:t>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8"/>
    </w:p>
    <w:p w14:paraId="160B5856" w14:textId="19C17870" w:rsidR="00764BB0" w:rsidRPr="00764BB0" w:rsidRDefault="00764BB0" w:rsidP="006B7F86">
      <w:pPr>
        <w:pStyle w:val="Nagwek2"/>
      </w:pPr>
      <w:r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Pr="00826DCC">
        <w:t xml:space="preserve">bądź </w:t>
      </w:r>
      <w:r w:rsidR="00936C0A" w:rsidRPr="001E104F">
        <w:t>koordynatora prac</w:t>
      </w:r>
      <w:r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6B7F86">
      <w:pPr>
        <w:pStyle w:val="Nagwek1"/>
      </w:pPr>
      <w:r>
        <w:t>Zatrudnienie pracowników</w:t>
      </w:r>
    </w:p>
    <w:p w14:paraId="49FCF18D" w14:textId="413A698C" w:rsidR="00F14CC0" w:rsidRPr="00E27A86" w:rsidRDefault="00F14CC0" w:rsidP="005676FF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552C8D96" w:rsidR="00F14CC0" w:rsidRPr="00E27A86" w:rsidRDefault="00F14CC0" w:rsidP="005676FF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117C6232" w14:textId="77777777" w:rsidR="00B173E2" w:rsidRDefault="00F14CC0" w:rsidP="00B173E2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8F7EDD1" w14:textId="77777777" w:rsidR="00B173E2" w:rsidRDefault="00F14CC0" w:rsidP="00B173E2">
      <w:pPr>
        <w:pStyle w:val="Nagwek2"/>
        <w:numPr>
          <w:ilvl w:val="2"/>
          <w:numId w:val="2"/>
        </w:numPr>
      </w:pPr>
      <w:r w:rsidRPr="00B173E2">
        <w:rPr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B173E2">
        <w:rPr>
          <w:lang w:eastAsia="en-US"/>
        </w:rPr>
        <w:t>odwykonawcy</w:t>
      </w:r>
      <w:r>
        <w:rPr>
          <w:lang w:eastAsia="en-US"/>
        </w:rPr>
        <w:t>,</w:t>
      </w:r>
      <w:r w:rsidRPr="00B173E2">
        <w:rPr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B173E2">
        <w:rPr>
          <w:lang w:eastAsia="en-US"/>
        </w:rPr>
        <w:t xml:space="preserve">, że wszystkie osoby wykonujące prace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B173E2">
        <w:rPr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B173E2">
        <w:rPr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B173E2">
        <w:rPr>
          <w:lang w:eastAsia="en-US"/>
        </w:rPr>
        <w:t>odwykonawcy;</w:t>
      </w:r>
    </w:p>
    <w:p w14:paraId="02EA53B6" w14:textId="77777777" w:rsidR="00B173E2" w:rsidRDefault="00F14CC0" w:rsidP="00B173E2">
      <w:pPr>
        <w:pStyle w:val="Nagwek2"/>
        <w:numPr>
          <w:ilvl w:val="2"/>
          <w:numId w:val="2"/>
        </w:numPr>
      </w:pPr>
      <w:r w:rsidRPr="00B173E2">
        <w:rPr>
          <w:lang w:eastAsia="en-US"/>
        </w:rPr>
        <w:t>poświadczoną za zgodność z oryginałem odpowiednio przez Wykonawcę lub Podwykonawcę kopię umowy o pracę osób wykonujących w trakcie realizacji zamówienia czynności, których dotyczy ww. oświadczenie Wykonawcy lub P</w:t>
      </w:r>
      <w:r w:rsidR="00C42DF8" w:rsidRPr="00B173E2">
        <w:rPr>
          <w:lang w:eastAsia="en-US"/>
        </w:rPr>
        <w:t>odwykonawcy (wraz z </w:t>
      </w:r>
      <w:r w:rsidRPr="00B173E2">
        <w:rPr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zidentyfikowania.</w:t>
      </w:r>
    </w:p>
    <w:p w14:paraId="425E948E" w14:textId="30F0AAE0" w:rsidR="00D47961" w:rsidRPr="00B173E2" w:rsidRDefault="00D47961" w:rsidP="00B173E2">
      <w:pPr>
        <w:pStyle w:val="Nagwek2"/>
        <w:numPr>
          <w:ilvl w:val="2"/>
          <w:numId w:val="2"/>
        </w:num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</w:t>
      </w:r>
      <w:r w:rsidR="006B7F86">
        <w:t xml:space="preserve"> </w:t>
      </w:r>
      <w:r w:rsidRPr="00D47961">
        <w:t>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61987B29" w:rsidR="00F14CC0" w:rsidRPr="00E91FAD" w:rsidRDefault="00F14CC0" w:rsidP="005676FF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6B7F86">
      <w:pPr>
        <w:pStyle w:val="Nagwek1"/>
      </w:pPr>
      <w:r>
        <w:t>Podwykonawstwo.</w:t>
      </w:r>
    </w:p>
    <w:p w14:paraId="4AF2B25B" w14:textId="7D6BDB71" w:rsidR="009D71B7" w:rsidRPr="00476722" w:rsidRDefault="009D71B7" w:rsidP="005676FF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2117E589" w:rsidR="009D71B7" w:rsidRPr="00476722" w:rsidRDefault="009D71B7" w:rsidP="005676FF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16B0A795" w14:textId="77777777" w:rsidR="00B173E2" w:rsidRDefault="009D71B7" w:rsidP="00B173E2">
      <w:pPr>
        <w:pStyle w:val="Nagwek2"/>
      </w:pPr>
      <w:r w:rsidRPr="00476722">
        <w:t>Umowa o podwykonawstwo nie może zawierać postanowień:</w:t>
      </w:r>
    </w:p>
    <w:p w14:paraId="3CF6AAB6" w14:textId="77777777" w:rsidR="00B173E2" w:rsidRDefault="009D71B7" w:rsidP="00B173E2">
      <w:pPr>
        <w:pStyle w:val="Nagwek2"/>
        <w:numPr>
          <w:ilvl w:val="2"/>
          <w:numId w:val="2"/>
        </w:numPr>
      </w:pPr>
      <w:r w:rsidRPr="00476722">
        <w:lastRenderedPageBreak/>
        <w:t>uzależniających uzyskanie przez Podwykonawcę płatności od Wykonawcy od zapłaty przez Zamawiającego Wykonawcy wynagrodzenia obejmującego zakres usług wykonanych przez Podwykonawcę;</w:t>
      </w:r>
    </w:p>
    <w:p w14:paraId="135DB157" w14:textId="174E96AA" w:rsidR="009D71B7" w:rsidRPr="00476722" w:rsidRDefault="009D71B7" w:rsidP="00B173E2">
      <w:pPr>
        <w:pStyle w:val="Nagwek2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221E43E3" w:rsidR="009D71B7" w:rsidRPr="00476722" w:rsidRDefault="009D71B7" w:rsidP="005676FF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111025C6" w:rsidR="009D71B7" w:rsidRPr="00476722" w:rsidRDefault="009D71B7" w:rsidP="005676FF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7FCA2BE9" w14:textId="77777777" w:rsidR="00B173E2" w:rsidRDefault="009D71B7" w:rsidP="00B173E2">
      <w:pPr>
        <w:pStyle w:val="Nagwek2"/>
      </w:pPr>
      <w:r w:rsidRPr="00476722">
        <w:t>Z zastrzeżeniem przypadku, w którym Zamawiający nałożył obowiązek osobistego wykonania przez Wykonawcę kluczowych części zamówienia, Wykonawca może</w:t>
      </w:r>
      <w:r w:rsidR="00B173E2">
        <w:t>:</w:t>
      </w:r>
    </w:p>
    <w:p w14:paraId="61EE2A7A" w14:textId="77777777" w:rsidR="00B173E2" w:rsidRDefault="009D71B7" w:rsidP="00B173E2">
      <w:pPr>
        <w:pStyle w:val="Nagwek2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33D1828D" w14:textId="77777777" w:rsidR="00B173E2" w:rsidRDefault="009D71B7" w:rsidP="00B173E2">
      <w:pPr>
        <w:pStyle w:val="Nagwek2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5AA8FF69" w14:textId="77777777" w:rsidR="00B173E2" w:rsidRDefault="009D71B7" w:rsidP="00B173E2">
      <w:pPr>
        <w:pStyle w:val="Nagwek2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75BFD05A" w:rsidR="009D71B7" w:rsidRPr="00476722" w:rsidRDefault="009D71B7" w:rsidP="00B173E2">
      <w:pPr>
        <w:pStyle w:val="Nagwek2"/>
        <w:numPr>
          <w:ilvl w:val="2"/>
          <w:numId w:val="2"/>
        </w:numPr>
      </w:pPr>
      <w:r w:rsidRPr="00476722">
        <w:t>zrezygnować z Podwykonawstwa.</w:t>
      </w:r>
    </w:p>
    <w:p w14:paraId="5154F97C" w14:textId="0FFB4931" w:rsidR="009D71B7" w:rsidRPr="00476722" w:rsidRDefault="009D71B7" w:rsidP="005676FF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1C995E5B" w:rsidR="009D71B7" w:rsidRDefault="002773CC" w:rsidP="005676FF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6B7F86">
      <w:pPr>
        <w:pStyle w:val="Nagwek1"/>
      </w:pPr>
      <w:r>
        <w:t>Kary umowne.</w:t>
      </w:r>
    </w:p>
    <w:p w14:paraId="3C60108C" w14:textId="77777777" w:rsidR="00B173E2" w:rsidRDefault="009D71B7" w:rsidP="00B173E2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592559A9" w14:textId="77777777" w:rsidR="00B173E2" w:rsidRDefault="007336B6" w:rsidP="00B173E2">
      <w:pPr>
        <w:pStyle w:val="Nagwek2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1AA22012" w14:textId="77777777" w:rsidR="00B173E2" w:rsidRDefault="007336B6" w:rsidP="00B173E2">
      <w:pPr>
        <w:pStyle w:val="Nagwek2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68B9036E" w14:textId="77777777" w:rsidR="00B173E2" w:rsidRDefault="0029006F" w:rsidP="00B173E2">
      <w:pPr>
        <w:pStyle w:val="Nagwek2"/>
        <w:numPr>
          <w:ilvl w:val="2"/>
          <w:numId w:val="2"/>
        </w:numPr>
      </w:pPr>
      <w:r w:rsidRPr="0029006F">
        <w:t>zwłoki w usunięciu wad i niezgodności dokumentacji projektowej stanowiącej przedmiot odbioru ostatecznego w wysokości 0,1% całkowitego wynagrodzenia umownego brutto</w:t>
      </w:r>
      <w:r>
        <w:t xml:space="preserve"> </w:t>
      </w:r>
      <w:r w:rsidR="009A57EB">
        <w:lastRenderedPageBreak/>
        <w:t>określonego w § 8</w:t>
      </w:r>
      <w:r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>
        <w:t>.</w:t>
      </w:r>
      <w:r w:rsidR="009D71B7">
        <w:t>,</w:t>
      </w:r>
    </w:p>
    <w:p w14:paraId="26220E73" w14:textId="77777777" w:rsidR="00B173E2" w:rsidRDefault="00750860" w:rsidP="00B173E2">
      <w:pPr>
        <w:pStyle w:val="Nagwek2"/>
        <w:numPr>
          <w:ilvl w:val="2"/>
          <w:numId w:val="2"/>
        </w:numPr>
      </w:pPr>
      <w:r w:rsidRPr="00750860">
        <w:t>nie usunięcia wad i niezgodności dokumentacji projektowej stanowiącej przedmiot odbioru ostatecznego w wysokości 0.5% całkowitego wynagrodzenia umownego brutto</w:t>
      </w:r>
      <w:r>
        <w:t xml:space="preserve"> </w:t>
      </w:r>
      <w:r w:rsidR="009A57EB">
        <w:t>określonego w § 8</w:t>
      </w:r>
      <w:r w:rsidRPr="00750860">
        <w:t>.1</w:t>
      </w:r>
      <w:r>
        <w:t>.</w:t>
      </w:r>
      <w:r w:rsidRPr="00750860">
        <w:t>, w terminie określonym przez Zamawiającego w odrębnym piśmie, o którym mowa</w:t>
      </w:r>
      <w:r>
        <w:t xml:space="preserve"> </w:t>
      </w:r>
      <w:r w:rsidRPr="00750860">
        <w:t xml:space="preserve">w § </w:t>
      </w:r>
      <w:r w:rsidR="009A57EB">
        <w:t>6</w:t>
      </w:r>
      <w:r>
        <w:t>.</w:t>
      </w:r>
      <w:r w:rsidR="008D61CF">
        <w:t>7</w:t>
      </w:r>
      <w:r>
        <w:t>.,</w:t>
      </w:r>
    </w:p>
    <w:p w14:paraId="76068F93" w14:textId="77777777" w:rsidR="00B173E2" w:rsidRDefault="00750860" w:rsidP="00B173E2">
      <w:pPr>
        <w:pStyle w:val="Nagwek2"/>
        <w:numPr>
          <w:ilvl w:val="2"/>
          <w:numId w:val="2"/>
        </w:numPr>
      </w:pPr>
      <w:r w:rsidRPr="00750860">
        <w:t xml:space="preserve">zwłoki w wykonaniu któregokolwiek z elementów harmonogramu prac projektowych </w:t>
      </w:r>
      <w:r>
        <w:t xml:space="preserve">       </w:t>
      </w:r>
      <w:r w:rsidRPr="00750860">
        <w:t>w wysokości 0,5% wynagrodzenia brutto</w:t>
      </w:r>
      <w:r>
        <w:t xml:space="preserve"> </w:t>
      </w:r>
      <w:r w:rsidR="009A57EB">
        <w:t>określonego w § 8</w:t>
      </w:r>
      <w:r w:rsidRPr="00750860">
        <w:t>.1</w:t>
      </w:r>
      <w:r>
        <w:t xml:space="preserve">. </w:t>
      </w:r>
      <w:r w:rsidRPr="00750860">
        <w:t xml:space="preserve"> za poszczególny element, którego dotyczy zwłoka za każdy rozpoczęty dzień zwłoki, licząc od terminu określonego dla danego elementu w zatwierdzonym harmonogramie</w:t>
      </w:r>
      <w:r>
        <w:t>,</w:t>
      </w:r>
    </w:p>
    <w:p w14:paraId="34669B63" w14:textId="4C3706A4" w:rsidR="00750860" w:rsidRPr="00750860" w:rsidRDefault="00750860" w:rsidP="00B173E2">
      <w:pPr>
        <w:pStyle w:val="Nagwek2"/>
        <w:numPr>
          <w:ilvl w:val="2"/>
          <w:numId w:val="2"/>
        </w:numPr>
      </w:pPr>
      <w:r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57CC72A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56D146" w:rsidR="00AD6991" w:rsidRDefault="003359C3" w:rsidP="00B173E2">
      <w:pPr>
        <w:spacing w:before="60" w:after="60"/>
        <w:ind w:left="1134" w:hanging="850"/>
        <w:jc w:val="both"/>
      </w:pPr>
      <w:r>
        <w:t>13</w:t>
      </w:r>
      <w:r w:rsidR="00AD6991">
        <w:t xml:space="preserve">.1.7.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131742E" w:rsidR="009D71B7" w:rsidRPr="00D5290D" w:rsidRDefault="009D71B7" w:rsidP="005676FF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071E7AC4" w:rsidR="00FA3E8B" w:rsidRDefault="00FA3E8B" w:rsidP="005676FF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777CD435" w:rsidR="009D71B7" w:rsidRPr="00D5290D" w:rsidRDefault="009D71B7" w:rsidP="005676FF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3A5B874E" w:rsidR="009D71B7" w:rsidRDefault="002773CC" w:rsidP="005676FF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6B7F86">
      <w:pPr>
        <w:pStyle w:val="Nagwek1"/>
      </w:pPr>
      <w:r>
        <w:t>Odstąpienie od umowy.</w:t>
      </w:r>
    </w:p>
    <w:p w14:paraId="69A731BF" w14:textId="77777777" w:rsidR="00B173E2" w:rsidRDefault="009D71B7" w:rsidP="00B173E2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473F0A3C" w14:textId="77777777" w:rsidR="003C4E0A" w:rsidRDefault="009D71B7" w:rsidP="003C4E0A">
      <w:pPr>
        <w:pStyle w:val="Nagwek2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33EE604" w14:textId="77777777" w:rsidR="003C4E0A" w:rsidRDefault="00FC1693" w:rsidP="003C4E0A">
      <w:pPr>
        <w:pStyle w:val="Nagwek2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64F0CDC1" w14:textId="77777777" w:rsidR="003C4E0A" w:rsidRDefault="00FC1693" w:rsidP="003C4E0A">
      <w:pPr>
        <w:pStyle w:val="Nagwek2"/>
        <w:numPr>
          <w:ilvl w:val="2"/>
          <w:numId w:val="2"/>
        </w:numPr>
      </w:pPr>
      <w:r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>
        <w:t>,</w:t>
      </w:r>
    </w:p>
    <w:p w14:paraId="007BF77B" w14:textId="77777777" w:rsidR="003C4E0A" w:rsidRDefault="00FC1693" w:rsidP="003C4E0A">
      <w:pPr>
        <w:pStyle w:val="Nagwek2"/>
        <w:numPr>
          <w:ilvl w:val="2"/>
          <w:numId w:val="2"/>
        </w:numPr>
      </w:pPr>
      <w:r w:rsidRPr="00FC1693">
        <w:t>trzykrotnego nienależytego usunięcia przez Wykonawcę wad dotyczących tego samego Etapu Umowy</w:t>
      </w:r>
      <w:r>
        <w:t>,</w:t>
      </w:r>
    </w:p>
    <w:p w14:paraId="213F836B" w14:textId="74A531FF" w:rsidR="00FC1693" w:rsidRPr="00FC1693" w:rsidRDefault="00FC1693" w:rsidP="003C4E0A">
      <w:pPr>
        <w:pStyle w:val="Nagwek2"/>
        <w:numPr>
          <w:ilvl w:val="2"/>
          <w:numId w:val="2"/>
        </w:numPr>
      </w:pPr>
      <w:r w:rsidRPr="00FC1693">
        <w:lastRenderedPageBreak/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3C4E0A">
        <w:rPr>
          <w:bCs/>
          <w:iCs/>
        </w:rPr>
        <w:t>§</w:t>
      </w:r>
      <w:r w:rsidR="0014433F" w:rsidRPr="003C4E0A">
        <w:rPr>
          <w:bCs/>
          <w:iCs/>
        </w:rPr>
        <w:t xml:space="preserve"> 6.</w:t>
      </w:r>
      <w:r w:rsidRPr="003C4E0A">
        <w:rPr>
          <w:bCs/>
          <w:iCs/>
        </w:rPr>
        <w:t>3</w:t>
      </w:r>
      <w:r w:rsidR="0014433F" w:rsidRPr="003C4E0A">
        <w:rPr>
          <w:bCs/>
          <w:iCs/>
        </w:rPr>
        <w:t>. i § 6</w:t>
      </w:r>
      <w:r w:rsidR="00C3636C" w:rsidRPr="003C4E0A">
        <w:rPr>
          <w:bCs/>
          <w:iCs/>
        </w:rPr>
        <w:t>.</w:t>
      </w:r>
      <w:r w:rsidR="004D2783" w:rsidRPr="003C4E0A">
        <w:rPr>
          <w:bCs/>
          <w:iCs/>
        </w:rPr>
        <w:t>7</w:t>
      </w:r>
      <w:r w:rsidR="00C3636C" w:rsidRPr="003C4E0A">
        <w:rPr>
          <w:bCs/>
          <w:iCs/>
        </w:rPr>
        <w:t>.</w:t>
      </w:r>
    </w:p>
    <w:p w14:paraId="12EE533B" w14:textId="72FA305E" w:rsidR="009D71B7" w:rsidRDefault="009D71B7" w:rsidP="005676FF">
      <w:pPr>
        <w:pStyle w:val="Nagwek2"/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5089818A" w:rsidR="009D71B7" w:rsidRDefault="009D71B7" w:rsidP="005676FF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6B7F86">
      <w:pPr>
        <w:pStyle w:val="Nagwek1"/>
      </w:pPr>
      <w:r>
        <w:t>Odpowiedzialność Wykonawcy</w:t>
      </w:r>
      <w:r w:rsidR="00A819AD">
        <w:t>.</w:t>
      </w:r>
    </w:p>
    <w:p w14:paraId="4592F267" w14:textId="11BAC5C3" w:rsidR="009470B3" w:rsidRPr="00BE6DA1" w:rsidRDefault="009470B3" w:rsidP="005676FF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3AC8C96" w:rsidR="009470B3" w:rsidRPr="00BE6DA1" w:rsidRDefault="009470B3" w:rsidP="005676FF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6B7F86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2BE7F51A" w:rsidR="009D71B7" w:rsidRDefault="005676FF" w:rsidP="005676FF">
      <w:pPr>
        <w:pStyle w:val="Nagwek2"/>
      </w:pPr>
      <w:r w:rsidRPr="005676FF">
        <w:rPr>
          <w:iCs/>
        </w:rPr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712810F6" w:rsidR="009D71B7" w:rsidRDefault="005676FF" w:rsidP="005676FF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6B7F86">
      <w:pPr>
        <w:pStyle w:val="Nagwek1"/>
      </w:pPr>
      <w:r>
        <w:t>Postanowienia końcowe.</w:t>
      </w:r>
    </w:p>
    <w:p w14:paraId="18075FBA" w14:textId="628C37BC" w:rsidR="00850BA0" w:rsidRPr="00850BA0" w:rsidRDefault="00850BA0" w:rsidP="005676FF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0CE65DBF" w14:textId="77777777" w:rsidR="003C4E0A" w:rsidRDefault="009470B3" w:rsidP="003C4E0A">
      <w:pPr>
        <w:pStyle w:val="Nagwek2"/>
      </w:pPr>
      <w:r>
        <w:t>Integralną część Umowy stanowią:</w:t>
      </w:r>
    </w:p>
    <w:p w14:paraId="39CA7459" w14:textId="77777777" w:rsidR="003C4E0A" w:rsidRDefault="00097B75" w:rsidP="003C4E0A">
      <w:pPr>
        <w:pStyle w:val="Nagwek2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3C4E0A">
        <w:rPr>
          <w:i/>
        </w:rPr>
        <w:t xml:space="preserve">– </w:t>
      </w:r>
      <w:r w:rsidR="008D01BD" w:rsidRPr="00C805DD">
        <w:t>Rozdz. nr 3</w:t>
      </w:r>
    </w:p>
    <w:p w14:paraId="6A9BA13B" w14:textId="6449F9B8" w:rsidR="003C4E0A" w:rsidRDefault="00097B75" w:rsidP="003C4E0A">
      <w:pPr>
        <w:pStyle w:val="Nagwek2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</w:t>
      </w:r>
      <w:r w:rsidR="003C4E0A">
        <w:t xml:space="preserve"> 4</w:t>
      </w:r>
    </w:p>
    <w:p w14:paraId="20108290" w14:textId="7CC69DAB" w:rsidR="00605410" w:rsidRPr="00940454" w:rsidRDefault="00605410" w:rsidP="003C4E0A">
      <w:pPr>
        <w:pStyle w:val="Nagwek2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3BD0E745" w:rsidR="009470B3" w:rsidRPr="009470B3" w:rsidRDefault="009470B3" w:rsidP="005676FF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3934DE7B" w:rsidR="009D71B7" w:rsidRDefault="009D71B7" w:rsidP="005676FF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67E2E460" w14:textId="77777777" w:rsidR="00EC3147" w:rsidRPr="00EC3147" w:rsidRDefault="00EC3147" w:rsidP="00EC3147"/>
    <w:p w14:paraId="39CC532E" w14:textId="4A9F9E74" w:rsidR="00D509E6" w:rsidRPr="00BD1CD1" w:rsidRDefault="00BD1CD1" w:rsidP="00BD1CD1">
      <w:r w:rsidRPr="00BD1CD1">
        <w:rPr>
          <w:rFonts w:eastAsiaTheme="minorHAnsi"/>
          <w:b/>
        </w:rPr>
        <w:t xml:space="preserve">   </w:t>
      </w:r>
      <w:r>
        <w:rPr>
          <w:rFonts w:eastAsiaTheme="minorHAnsi"/>
          <w:b/>
        </w:rPr>
        <w:t xml:space="preserve"> </w:t>
      </w:r>
      <w:bookmarkStart w:id="9" w:name="_GoBack"/>
      <w:bookmarkEnd w:id="9"/>
      <w:r w:rsidR="009E165E"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 w:rsidR="009E165E"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 w:rsidR="009E165E"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 w:rsidR="009E165E"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A51BE" w14:textId="77777777" w:rsidR="008649AC" w:rsidRDefault="008649AC" w:rsidP="00346DDB">
      <w:r>
        <w:separator/>
      </w:r>
    </w:p>
  </w:endnote>
  <w:endnote w:type="continuationSeparator" w:id="0">
    <w:p w14:paraId="2AB9BEFD" w14:textId="77777777" w:rsidR="008649AC" w:rsidRDefault="008649AC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EE3C4" w14:textId="77777777" w:rsidR="008649AC" w:rsidRDefault="008649AC" w:rsidP="00346DDB">
      <w:r>
        <w:separator/>
      </w:r>
    </w:p>
  </w:footnote>
  <w:footnote w:type="continuationSeparator" w:id="0">
    <w:p w14:paraId="01FE67DC" w14:textId="77777777" w:rsidR="008649AC" w:rsidRDefault="008649AC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5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6204C"/>
    <w:multiLevelType w:val="hybridMultilevel"/>
    <w:tmpl w:val="D2F6D032"/>
    <w:lvl w:ilvl="0" w:tplc="84F8A40E">
      <w:start w:val="1"/>
      <w:numFmt w:val="ordinal"/>
      <w:pStyle w:val="Nagwek3"/>
      <w:lvlText w:val="12.6.%1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B28A006A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073"/>
        </w:tabs>
        <w:ind w:left="16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F7205238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ordinal"/>
      <w:lvlText w:val="4.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6EF738F1"/>
    <w:multiLevelType w:val="hybridMultilevel"/>
    <w:tmpl w:val="1E0063FE"/>
    <w:lvl w:ilvl="0" w:tplc="6F6E5200">
      <w:start w:val="1"/>
      <w:numFmt w:val="decimal"/>
      <w:lvlText w:val="4.2.4.%1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30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2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3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5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5"/>
  </w:num>
  <w:num w:numId="5">
    <w:abstractNumId w:val="3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3"/>
  </w:num>
  <w:num w:numId="15">
    <w:abstractNumId w:val="11"/>
  </w:num>
  <w:num w:numId="16">
    <w:abstractNumId w:val="2"/>
  </w:num>
  <w:num w:numId="17">
    <w:abstractNumId w:val="7"/>
  </w:num>
  <w:num w:numId="18">
    <w:abstractNumId w:val="10"/>
  </w:num>
  <w:num w:numId="19">
    <w:abstractNumId w:val="23"/>
  </w:num>
  <w:num w:numId="20">
    <w:abstractNumId w:val="20"/>
  </w:num>
  <w:num w:numId="21">
    <w:abstractNumId w:val="29"/>
  </w:num>
  <w:num w:numId="22">
    <w:abstractNumId w:val="6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2"/>
  </w:num>
  <w:num w:numId="30">
    <w:abstractNumId w:val="27"/>
  </w:num>
  <w:num w:numId="31">
    <w:abstractNumId w:val="24"/>
  </w:num>
  <w:num w:numId="32">
    <w:abstractNumId w:val="31"/>
  </w:num>
  <w:num w:numId="33">
    <w:abstractNumId w:val="4"/>
  </w:num>
  <w:num w:numId="34">
    <w:abstractNumId w:val="34"/>
  </w:num>
  <w:num w:numId="35">
    <w:abstractNumId w:val="25"/>
  </w:num>
  <w:num w:numId="36">
    <w:abstractNumId w:val="19"/>
  </w:num>
  <w:num w:numId="37">
    <w:abstractNumId w:val="12"/>
  </w:num>
  <w:num w:numId="38">
    <w:abstractNumId w:val="28"/>
  </w:num>
  <w:num w:numId="39">
    <w:abstractNumId w:val="9"/>
  </w:num>
  <w:num w:numId="40">
    <w:abstractNumId w:val="9"/>
    <w:lvlOverride w:ilvl="0">
      <w:startOverride w:val="1"/>
    </w:lvlOverride>
  </w:num>
  <w:num w:numId="41">
    <w:abstractNumId w:val="9"/>
    <w:lvlOverride w:ilvl="0">
      <w:startOverride w:val="1"/>
    </w:lvlOverride>
  </w:num>
  <w:num w:numId="42">
    <w:abstractNumId w:val="9"/>
    <w:lvlOverride w:ilvl="0">
      <w:startOverride w:val="1"/>
    </w:lvlOverride>
  </w:num>
  <w:num w:numId="43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</w:num>
  <w:num w:numId="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F0B60"/>
    <w:rsid w:val="000F4470"/>
    <w:rsid w:val="00100399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80EF8"/>
    <w:rsid w:val="0018113E"/>
    <w:rsid w:val="0018492C"/>
    <w:rsid w:val="00185ED1"/>
    <w:rsid w:val="001904C5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73CC"/>
    <w:rsid w:val="0028433A"/>
    <w:rsid w:val="0029006F"/>
    <w:rsid w:val="00291316"/>
    <w:rsid w:val="00292D43"/>
    <w:rsid w:val="002956FD"/>
    <w:rsid w:val="002A3490"/>
    <w:rsid w:val="002A366A"/>
    <w:rsid w:val="002A4B69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90FD6"/>
    <w:rsid w:val="003A347D"/>
    <w:rsid w:val="003B036A"/>
    <w:rsid w:val="003B24A7"/>
    <w:rsid w:val="003C4152"/>
    <w:rsid w:val="003C4B5A"/>
    <w:rsid w:val="003C4E0A"/>
    <w:rsid w:val="003D0439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650C"/>
    <w:rsid w:val="00471500"/>
    <w:rsid w:val="00474F12"/>
    <w:rsid w:val="00475A84"/>
    <w:rsid w:val="00484B22"/>
    <w:rsid w:val="00484BE5"/>
    <w:rsid w:val="00485D01"/>
    <w:rsid w:val="004862BD"/>
    <w:rsid w:val="004A0B5E"/>
    <w:rsid w:val="004A5800"/>
    <w:rsid w:val="004A6C22"/>
    <w:rsid w:val="004A725C"/>
    <w:rsid w:val="004B4E7D"/>
    <w:rsid w:val="004C0669"/>
    <w:rsid w:val="004C5E0D"/>
    <w:rsid w:val="004D0BA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93FD0"/>
    <w:rsid w:val="00694EAB"/>
    <w:rsid w:val="006A74A4"/>
    <w:rsid w:val="006B0E16"/>
    <w:rsid w:val="006B7F8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610C"/>
    <w:rsid w:val="00757ED3"/>
    <w:rsid w:val="00761F40"/>
    <w:rsid w:val="00764BB0"/>
    <w:rsid w:val="0078324F"/>
    <w:rsid w:val="007853C3"/>
    <w:rsid w:val="00794223"/>
    <w:rsid w:val="00797774"/>
    <w:rsid w:val="007A0563"/>
    <w:rsid w:val="007B0635"/>
    <w:rsid w:val="007B78E5"/>
    <w:rsid w:val="007C7BAA"/>
    <w:rsid w:val="007D02F2"/>
    <w:rsid w:val="007F12F9"/>
    <w:rsid w:val="00800229"/>
    <w:rsid w:val="008002B9"/>
    <w:rsid w:val="008017F8"/>
    <w:rsid w:val="008023B7"/>
    <w:rsid w:val="00810FCC"/>
    <w:rsid w:val="008148D8"/>
    <w:rsid w:val="00815169"/>
    <w:rsid w:val="00820BE7"/>
    <w:rsid w:val="00821573"/>
    <w:rsid w:val="00826E0E"/>
    <w:rsid w:val="00833E38"/>
    <w:rsid w:val="00843B75"/>
    <w:rsid w:val="00850BA0"/>
    <w:rsid w:val="0085345C"/>
    <w:rsid w:val="00855FB6"/>
    <w:rsid w:val="00863ECA"/>
    <w:rsid w:val="008649AC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10BDF"/>
    <w:rsid w:val="00911BBB"/>
    <w:rsid w:val="00920950"/>
    <w:rsid w:val="0092334D"/>
    <w:rsid w:val="00925398"/>
    <w:rsid w:val="0092715D"/>
    <w:rsid w:val="00930615"/>
    <w:rsid w:val="00930CD7"/>
    <w:rsid w:val="00936C0A"/>
    <w:rsid w:val="0093701B"/>
    <w:rsid w:val="00940454"/>
    <w:rsid w:val="00940F06"/>
    <w:rsid w:val="009443DD"/>
    <w:rsid w:val="009470B3"/>
    <w:rsid w:val="009529DE"/>
    <w:rsid w:val="00954A4D"/>
    <w:rsid w:val="00960B3F"/>
    <w:rsid w:val="00963863"/>
    <w:rsid w:val="00984384"/>
    <w:rsid w:val="00987E84"/>
    <w:rsid w:val="00993EE6"/>
    <w:rsid w:val="009970F0"/>
    <w:rsid w:val="009A0160"/>
    <w:rsid w:val="009A0D10"/>
    <w:rsid w:val="009A1254"/>
    <w:rsid w:val="009A57EB"/>
    <w:rsid w:val="009B30ED"/>
    <w:rsid w:val="009B331A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A00941"/>
    <w:rsid w:val="00A04251"/>
    <w:rsid w:val="00A13F15"/>
    <w:rsid w:val="00A1411F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6991"/>
    <w:rsid w:val="00AE05FA"/>
    <w:rsid w:val="00AE3EB0"/>
    <w:rsid w:val="00AE55DD"/>
    <w:rsid w:val="00AF421B"/>
    <w:rsid w:val="00AF47E4"/>
    <w:rsid w:val="00AF71C8"/>
    <w:rsid w:val="00B134FB"/>
    <w:rsid w:val="00B173E2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86C2A"/>
    <w:rsid w:val="00B9134D"/>
    <w:rsid w:val="00BA1E5D"/>
    <w:rsid w:val="00BA7880"/>
    <w:rsid w:val="00BA7D15"/>
    <w:rsid w:val="00BB0C3A"/>
    <w:rsid w:val="00BB0E99"/>
    <w:rsid w:val="00BB169D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541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C41DD"/>
    <w:rsid w:val="00CD29EC"/>
    <w:rsid w:val="00CD30DD"/>
    <w:rsid w:val="00CD3846"/>
    <w:rsid w:val="00CD643D"/>
    <w:rsid w:val="00CE2882"/>
    <w:rsid w:val="00CE6065"/>
    <w:rsid w:val="00CF2B91"/>
    <w:rsid w:val="00D03BBB"/>
    <w:rsid w:val="00D06AEA"/>
    <w:rsid w:val="00D2462D"/>
    <w:rsid w:val="00D35D93"/>
    <w:rsid w:val="00D46FDA"/>
    <w:rsid w:val="00D47961"/>
    <w:rsid w:val="00D509E6"/>
    <w:rsid w:val="00D5516E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CD0"/>
    <w:rsid w:val="00DB6328"/>
    <w:rsid w:val="00DB686F"/>
    <w:rsid w:val="00DC5E5C"/>
    <w:rsid w:val="00DC6B15"/>
    <w:rsid w:val="00DC74C3"/>
    <w:rsid w:val="00DD1896"/>
    <w:rsid w:val="00DD7859"/>
    <w:rsid w:val="00DE2051"/>
    <w:rsid w:val="00DE2A43"/>
    <w:rsid w:val="00DE5B73"/>
    <w:rsid w:val="00DF7729"/>
    <w:rsid w:val="00E0018D"/>
    <w:rsid w:val="00E06105"/>
    <w:rsid w:val="00E10FEB"/>
    <w:rsid w:val="00E20365"/>
    <w:rsid w:val="00E243C9"/>
    <w:rsid w:val="00E27A86"/>
    <w:rsid w:val="00E4206E"/>
    <w:rsid w:val="00E4258B"/>
    <w:rsid w:val="00E46AA0"/>
    <w:rsid w:val="00E46D65"/>
    <w:rsid w:val="00E544C2"/>
    <w:rsid w:val="00E67738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46823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3C85"/>
    <w:rsid w:val="00FB6FDF"/>
    <w:rsid w:val="00FC1693"/>
    <w:rsid w:val="00FD2371"/>
    <w:rsid w:val="00FD715A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B353DCF4-6C23-471F-A172-A147F837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2C26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6B7F86"/>
    <w:pPr>
      <w:keepNext/>
      <w:numPr>
        <w:numId w:val="2"/>
      </w:numPr>
      <w:spacing w:before="60" w:after="6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5676FF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8002B9"/>
    <w:pPr>
      <w:numPr>
        <w:numId w:val="39"/>
      </w:numPr>
      <w:tabs>
        <w:tab w:val="left" w:pos="993"/>
      </w:tabs>
      <w:spacing w:before="60" w:after="6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7F86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5676FF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002B9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29572-FF42-4CD8-9A17-1A24BA7D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11</Pages>
  <Words>4326</Words>
  <Characters>25961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26</cp:revision>
  <cp:lastPrinted>2019-03-01T13:25:00Z</cp:lastPrinted>
  <dcterms:created xsi:type="dcterms:W3CDTF">2019-03-01T12:27:00Z</dcterms:created>
  <dcterms:modified xsi:type="dcterms:W3CDTF">2019-12-17T08:48:00Z</dcterms:modified>
</cp:coreProperties>
</file>